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71" w:rsidRPr="003436C4" w:rsidRDefault="00DA2A71" w:rsidP="00DA2A71">
      <w:pPr>
        <w:tabs>
          <w:tab w:val="left" w:pos="567"/>
        </w:tabs>
        <w:jc w:val="both"/>
        <w:rPr>
          <w:rFonts w:cs="Arial"/>
          <w:bCs/>
          <w:spacing w:val="-3"/>
          <w:sz w:val="22"/>
          <w:szCs w:val="22"/>
        </w:rPr>
      </w:pPr>
      <w:bookmarkStart w:id="0" w:name="_GoBack"/>
      <w:bookmarkEnd w:id="0"/>
    </w:p>
    <w:p w:rsidR="00C00799" w:rsidRDefault="00C00799" w:rsidP="00D214F1">
      <w:pPr>
        <w:numPr>
          <w:ilvl w:val="0"/>
          <w:numId w:val="12"/>
        </w:numPr>
        <w:tabs>
          <w:tab w:val="clear" w:pos="720"/>
          <w:tab w:val="left" w:pos="567"/>
        </w:tabs>
        <w:ind w:left="567" w:hanging="567"/>
        <w:jc w:val="both"/>
        <w:rPr>
          <w:rFonts w:cs="Arial"/>
          <w:bCs/>
          <w:spacing w:val="-3"/>
          <w:sz w:val="22"/>
          <w:szCs w:val="22"/>
        </w:rPr>
      </w:pPr>
      <w:r w:rsidRPr="00C00799">
        <w:rPr>
          <w:rFonts w:cs="Arial"/>
          <w:bCs/>
          <w:spacing w:val="-3"/>
          <w:sz w:val="22"/>
          <w:szCs w:val="22"/>
        </w:rPr>
        <w:t>On 2 October 2008, the Council of Australian Governments (COAG) agreed to a new national consumer law to be implemented by a national application law scheme, and jointly enforced by the Commonwealth, States and Territories</w:t>
      </w:r>
      <w:r>
        <w:rPr>
          <w:rFonts w:cs="Arial"/>
          <w:bCs/>
          <w:spacing w:val="-3"/>
          <w:sz w:val="22"/>
          <w:szCs w:val="22"/>
        </w:rPr>
        <w:t>.</w:t>
      </w:r>
      <w:r w:rsidRPr="00C00799">
        <w:rPr>
          <w:rFonts w:cs="Arial"/>
          <w:bCs/>
          <w:spacing w:val="-3"/>
          <w:sz w:val="22"/>
          <w:szCs w:val="22"/>
        </w:rPr>
        <w:t xml:space="preserve"> </w:t>
      </w:r>
    </w:p>
    <w:p w:rsidR="00C00799" w:rsidRDefault="00C00799" w:rsidP="00C00799">
      <w:pPr>
        <w:tabs>
          <w:tab w:val="left" w:pos="567"/>
        </w:tabs>
        <w:jc w:val="both"/>
        <w:rPr>
          <w:rFonts w:cs="Arial"/>
          <w:bCs/>
          <w:spacing w:val="-3"/>
          <w:sz w:val="22"/>
          <w:szCs w:val="22"/>
        </w:rPr>
      </w:pPr>
    </w:p>
    <w:p w:rsidR="00732D4D" w:rsidRPr="003436C4" w:rsidRDefault="00732D4D" w:rsidP="00732D4D">
      <w:pPr>
        <w:numPr>
          <w:ilvl w:val="0"/>
          <w:numId w:val="12"/>
        </w:numPr>
        <w:tabs>
          <w:tab w:val="clear" w:pos="720"/>
          <w:tab w:val="left" w:pos="567"/>
        </w:tabs>
        <w:ind w:left="567" w:hanging="567"/>
        <w:jc w:val="both"/>
        <w:rPr>
          <w:rFonts w:cs="Arial"/>
          <w:bCs/>
          <w:spacing w:val="-3"/>
          <w:sz w:val="22"/>
          <w:szCs w:val="22"/>
        </w:rPr>
      </w:pPr>
      <w:r w:rsidRPr="003436C4">
        <w:rPr>
          <w:rFonts w:cs="Arial"/>
          <w:bCs/>
          <w:spacing w:val="-3"/>
          <w:sz w:val="22"/>
          <w:szCs w:val="22"/>
        </w:rPr>
        <w:t xml:space="preserve">The </w:t>
      </w:r>
      <w:r w:rsidR="00C00799">
        <w:rPr>
          <w:rFonts w:cs="Arial"/>
          <w:bCs/>
          <w:spacing w:val="-3"/>
          <w:sz w:val="22"/>
          <w:szCs w:val="22"/>
        </w:rPr>
        <w:t>Australian Consumer Law (</w:t>
      </w:r>
      <w:r w:rsidRPr="003436C4">
        <w:rPr>
          <w:rFonts w:cs="Arial"/>
          <w:bCs/>
          <w:spacing w:val="-3"/>
          <w:sz w:val="22"/>
          <w:szCs w:val="22"/>
        </w:rPr>
        <w:t>ACL</w:t>
      </w:r>
      <w:r w:rsidR="00C00799">
        <w:rPr>
          <w:rFonts w:cs="Arial"/>
          <w:bCs/>
          <w:spacing w:val="-3"/>
          <w:sz w:val="22"/>
          <w:szCs w:val="22"/>
        </w:rPr>
        <w:t>)</w:t>
      </w:r>
      <w:r w:rsidRPr="003436C4">
        <w:rPr>
          <w:rFonts w:cs="Arial"/>
          <w:bCs/>
          <w:spacing w:val="-3"/>
          <w:sz w:val="22"/>
          <w:szCs w:val="22"/>
        </w:rPr>
        <w:t xml:space="preserve"> </w:t>
      </w:r>
      <w:r w:rsidR="00C00799">
        <w:rPr>
          <w:rFonts w:cs="Arial"/>
          <w:bCs/>
          <w:spacing w:val="-3"/>
          <w:sz w:val="22"/>
          <w:szCs w:val="22"/>
        </w:rPr>
        <w:t>was developed as</w:t>
      </w:r>
      <w:r w:rsidR="00C00799" w:rsidRPr="003436C4">
        <w:rPr>
          <w:rFonts w:cs="Arial"/>
          <w:bCs/>
          <w:spacing w:val="-3"/>
          <w:sz w:val="22"/>
          <w:szCs w:val="22"/>
        </w:rPr>
        <w:t xml:space="preserve"> </w:t>
      </w:r>
      <w:r w:rsidRPr="003436C4">
        <w:rPr>
          <w:rFonts w:cs="Arial"/>
          <w:bCs/>
          <w:spacing w:val="-3"/>
          <w:sz w:val="22"/>
          <w:szCs w:val="22"/>
        </w:rPr>
        <w:t>a single national consumer law based on the</w:t>
      </w:r>
      <w:r w:rsidR="007A433D">
        <w:rPr>
          <w:rFonts w:cs="Arial"/>
          <w:bCs/>
          <w:spacing w:val="-3"/>
          <w:sz w:val="22"/>
          <w:szCs w:val="22"/>
        </w:rPr>
        <w:t xml:space="preserve"> former</w:t>
      </w:r>
      <w:r w:rsidRPr="003436C4">
        <w:rPr>
          <w:rFonts w:cs="Arial"/>
          <w:bCs/>
          <w:spacing w:val="-3"/>
          <w:sz w:val="22"/>
          <w:szCs w:val="22"/>
        </w:rPr>
        <w:t xml:space="preserve"> </w:t>
      </w:r>
      <w:r w:rsidRPr="003436C4">
        <w:rPr>
          <w:rFonts w:cs="Arial"/>
          <w:bCs/>
          <w:i/>
          <w:spacing w:val="-3"/>
          <w:sz w:val="22"/>
          <w:szCs w:val="22"/>
        </w:rPr>
        <w:t xml:space="preserve">Trade Practices Act 1974 </w:t>
      </w:r>
      <w:r w:rsidRPr="003436C4">
        <w:rPr>
          <w:rFonts w:cs="Arial"/>
          <w:bCs/>
          <w:spacing w:val="-3"/>
          <w:sz w:val="22"/>
          <w:szCs w:val="22"/>
        </w:rPr>
        <w:t>(Cth) and drawing upon the recommendations of the Productivity Commission Review of Australia’s Consumer Protection Framework (2008) and best practice in State and Territory consumer law</w:t>
      </w:r>
      <w:r w:rsidR="00E00F29" w:rsidRPr="003436C4">
        <w:rPr>
          <w:rFonts w:cs="Arial"/>
          <w:bCs/>
          <w:spacing w:val="-3"/>
          <w:sz w:val="22"/>
          <w:szCs w:val="22"/>
        </w:rPr>
        <w:t>s</w:t>
      </w:r>
      <w:r w:rsidRPr="003436C4">
        <w:rPr>
          <w:rFonts w:cs="Arial"/>
          <w:bCs/>
          <w:spacing w:val="-3"/>
          <w:sz w:val="22"/>
          <w:szCs w:val="22"/>
        </w:rPr>
        <w:t>.</w:t>
      </w:r>
      <w:r w:rsidR="00DA2A71" w:rsidRPr="003436C4">
        <w:rPr>
          <w:rFonts w:cs="Arial"/>
          <w:bCs/>
          <w:spacing w:val="-3"/>
          <w:sz w:val="22"/>
          <w:szCs w:val="22"/>
        </w:rPr>
        <w:t xml:space="preserve"> </w:t>
      </w:r>
    </w:p>
    <w:p w:rsidR="00732D4D" w:rsidRPr="003436C4" w:rsidRDefault="00732D4D" w:rsidP="00732D4D">
      <w:pPr>
        <w:tabs>
          <w:tab w:val="left" w:pos="567"/>
        </w:tabs>
        <w:jc w:val="both"/>
        <w:rPr>
          <w:rFonts w:cs="Arial"/>
          <w:bCs/>
          <w:spacing w:val="-3"/>
          <w:sz w:val="22"/>
          <w:szCs w:val="22"/>
        </w:rPr>
      </w:pPr>
    </w:p>
    <w:p w:rsidR="00C00799" w:rsidRPr="003436C4" w:rsidRDefault="00C00799" w:rsidP="00C00799">
      <w:pPr>
        <w:numPr>
          <w:ilvl w:val="0"/>
          <w:numId w:val="12"/>
        </w:numPr>
        <w:tabs>
          <w:tab w:val="clear" w:pos="720"/>
          <w:tab w:val="left" w:pos="567"/>
        </w:tabs>
        <w:ind w:left="567" w:hanging="567"/>
        <w:jc w:val="both"/>
        <w:rPr>
          <w:rFonts w:cs="Arial"/>
          <w:bCs/>
          <w:i/>
          <w:spacing w:val="-3"/>
          <w:sz w:val="22"/>
          <w:szCs w:val="22"/>
        </w:rPr>
      </w:pPr>
      <w:r w:rsidRPr="003436C4">
        <w:rPr>
          <w:rFonts w:cs="Arial"/>
          <w:bCs/>
          <w:spacing w:val="-3"/>
          <w:sz w:val="22"/>
          <w:szCs w:val="22"/>
        </w:rPr>
        <w:t xml:space="preserve">An extensive period of public consultation was undertaken throughout the development of the ACL.  The consultation period included the release of several reports, options papers and regulatory impact statements for community comment.  </w:t>
      </w:r>
      <w:r>
        <w:rPr>
          <w:rFonts w:cs="Arial"/>
          <w:bCs/>
          <w:spacing w:val="-3"/>
          <w:sz w:val="22"/>
          <w:szCs w:val="22"/>
        </w:rPr>
        <w:t>O</w:t>
      </w:r>
      <w:r w:rsidRPr="003436C4">
        <w:rPr>
          <w:rFonts w:cs="Arial"/>
          <w:bCs/>
          <w:spacing w:val="-3"/>
          <w:sz w:val="22"/>
          <w:szCs w:val="22"/>
        </w:rPr>
        <w:t xml:space="preserve">n 18 March 2010, the Senate Standing Committee on Economics considered the ACL as part of the inquiry into the </w:t>
      </w:r>
      <w:r w:rsidRPr="003436C4">
        <w:rPr>
          <w:rFonts w:cs="Arial"/>
          <w:bCs/>
          <w:i/>
          <w:spacing w:val="-3"/>
          <w:sz w:val="22"/>
          <w:szCs w:val="22"/>
        </w:rPr>
        <w:t>Trade Practices Amendment (Australian Consumer Law) Bill (No.2) 2010</w:t>
      </w:r>
      <w:r w:rsidRPr="003436C4">
        <w:rPr>
          <w:rFonts w:cs="Arial"/>
          <w:bCs/>
          <w:spacing w:val="-3"/>
          <w:sz w:val="22"/>
          <w:szCs w:val="22"/>
        </w:rPr>
        <w:t xml:space="preserve">.  </w:t>
      </w:r>
    </w:p>
    <w:p w:rsidR="00C00799" w:rsidRPr="003436C4" w:rsidRDefault="00C00799" w:rsidP="00C00799">
      <w:pPr>
        <w:tabs>
          <w:tab w:val="left" w:pos="567"/>
        </w:tabs>
        <w:jc w:val="both"/>
        <w:rPr>
          <w:rFonts w:cs="Arial"/>
          <w:bCs/>
          <w:i/>
          <w:spacing w:val="-3"/>
          <w:sz w:val="22"/>
          <w:szCs w:val="22"/>
        </w:rPr>
      </w:pPr>
    </w:p>
    <w:p w:rsidR="00C00799" w:rsidRPr="003436C4" w:rsidRDefault="00C00799" w:rsidP="00C00799">
      <w:pPr>
        <w:numPr>
          <w:ilvl w:val="0"/>
          <w:numId w:val="12"/>
        </w:numPr>
        <w:tabs>
          <w:tab w:val="clear" w:pos="720"/>
          <w:tab w:val="left" w:pos="567"/>
        </w:tabs>
        <w:ind w:left="567" w:hanging="567"/>
        <w:jc w:val="both"/>
        <w:rPr>
          <w:rFonts w:cs="Arial"/>
          <w:bCs/>
          <w:spacing w:val="-3"/>
          <w:sz w:val="22"/>
          <w:szCs w:val="22"/>
        </w:rPr>
      </w:pPr>
      <w:r w:rsidRPr="003436C4">
        <w:rPr>
          <w:rFonts w:cs="Arial"/>
          <w:bCs/>
          <w:spacing w:val="-3"/>
          <w:sz w:val="22"/>
          <w:szCs w:val="22"/>
        </w:rPr>
        <w:t>The ACL provides consumer protection against misleading or unconscionable conduct, unfair contracts and practices, consumer guarantees, unsolicited selling, information standards and a national product safety system.</w:t>
      </w:r>
    </w:p>
    <w:p w:rsidR="00C00799" w:rsidRPr="003436C4" w:rsidRDefault="00C00799" w:rsidP="00C00799">
      <w:pPr>
        <w:tabs>
          <w:tab w:val="left" w:pos="567"/>
        </w:tabs>
        <w:jc w:val="both"/>
        <w:rPr>
          <w:rFonts w:cs="Arial"/>
          <w:bCs/>
          <w:spacing w:val="-3"/>
          <w:sz w:val="22"/>
          <w:szCs w:val="22"/>
        </w:rPr>
      </w:pPr>
    </w:p>
    <w:p w:rsidR="00CD0194" w:rsidRPr="003436C4" w:rsidRDefault="00C00799" w:rsidP="00DA6BDC">
      <w:pPr>
        <w:numPr>
          <w:ilvl w:val="0"/>
          <w:numId w:val="12"/>
        </w:numPr>
        <w:tabs>
          <w:tab w:val="clear" w:pos="720"/>
          <w:tab w:val="left" w:pos="567"/>
        </w:tabs>
        <w:ind w:left="567" w:hanging="567"/>
        <w:jc w:val="both"/>
        <w:rPr>
          <w:rFonts w:cs="Arial"/>
          <w:bCs/>
          <w:i/>
          <w:spacing w:val="-3"/>
          <w:sz w:val="22"/>
          <w:szCs w:val="22"/>
        </w:rPr>
      </w:pPr>
      <w:r w:rsidRPr="003436C4">
        <w:rPr>
          <w:rFonts w:cs="Arial"/>
          <w:bCs/>
          <w:spacing w:val="-3"/>
          <w:sz w:val="22"/>
          <w:szCs w:val="22"/>
        </w:rPr>
        <w:t xml:space="preserve">The principal objective of the Fair Trading (Australian Consumer Law) Amendment Bill 2010 is to apply the ACL as a law of </w:t>
      </w:r>
      <w:smartTag w:uri="urn:schemas-microsoft-com:office:smarttags" w:element="State">
        <w:r w:rsidRPr="003436C4">
          <w:rPr>
            <w:rFonts w:cs="Arial"/>
            <w:bCs/>
            <w:spacing w:val="-3"/>
            <w:sz w:val="22"/>
            <w:szCs w:val="22"/>
          </w:rPr>
          <w:t>Queensland</w:t>
        </w:r>
      </w:smartTag>
      <w:r w:rsidRPr="003436C4">
        <w:rPr>
          <w:rFonts w:cs="Arial"/>
          <w:bCs/>
          <w:spacing w:val="-3"/>
          <w:sz w:val="22"/>
          <w:szCs w:val="22"/>
        </w:rPr>
        <w:t xml:space="preserve">, providing additional remedies and protections for consumers, while allowing </w:t>
      </w:r>
      <w:smartTag w:uri="urn:schemas-microsoft-com:office:smarttags" w:element="country-region">
        <w:smartTag w:uri="urn:schemas-microsoft-com:office:smarttags" w:element="State">
          <w:r w:rsidRPr="003436C4">
            <w:rPr>
              <w:rFonts w:cs="Arial"/>
              <w:bCs/>
              <w:spacing w:val="-3"/>
              <w:sz w:val="22"/>
              <w:szCs w:val="22"/>
            </w:rPr>
            <w:t>Queensland</w:t>
          </w:r>
        </w:smartTag>
      </w:smartTag>
      <w:r w:rsidRPr="003436C4">
        <w:rPr>
          <w:rFonts w:cs="Arial"/>
          <w:bCs/>
          <w:spacing w:val="-3"/>
          <w:sz w:val="22"/>
          <w:szCs w:val="22"/>
        </w:rPr>
        <w:t xml:space="preserve"> to jointly enforce the applied law.  </w:t>
      </w:r>
      <w:r w:rsidR="003436C4">
        <w:rPr>
          <w:rFonts w:cs="Arial"/>
          <w:bCs/>
          <w:spacing w:val="-3"/>
          <w:sz w:val="22"/>
          <w:szCs w:val="22"/>
        </w:rPr>
        <w:t>T</w:t>
      </w:r>
      <w:r w:rsidR="00CD0194" w:rsidRPr="003436C4">
        <w:rPr>
          <w:rFonts w:cs="Arial"/>
          <w:bCs/>
          <w:spacing w:val="-3"/>
          <w:sz w:val="22"/>
          <w:szCs w:val="22"/>
        </w:rPr>
        <w:t xml:space="preserve">he Bill </w:t>
      </w:r>
      <w:r w:rsidR="003436C4">
        <w:rPr>
          <w:rFonts w:cs="Arial"/>
          <w:bCs/>
          <w:spacing w:val="-3"/>
          <w:sz w:val="22"/>
          <w:szCs w:val="22"/>
        </w:rPr>
        <w:t>also</w:t>
      </w:r>
      <w:r w:rsidR="00CD0194" w:rsidRPr="003436C4">
        <w:rPr>
          <w:rFonts w:cs="Arial"/>
          <w:bCs/>
          <w:spacing w:val="-3"/>
          <w:sz w:val="22"/>
          <w:szCs w:val="22"/>
        </w:rPr>
        <w:t xml:space="preserve"> implement</w:t>
      </w:r>
      <w:r w:rsidR="003436C4">
        <w:rPr>
          <w:rFonts w:cs="Arial"/>
          <w:bCs/>
          <w:spacing w:val="-3"/>
          <w:sz w:val="22"/>
          <w:szCs w:val="22"/>
        </w:rPr>
        <w:t>s</w:t>
      </w:r>
      <w:r w:rsidR="00CD0194" w:rsidRPr="003436C4">
        <w:rPr>
          <w:rFonts w:cs="Arial"/>
          <w:bCs/>
          <w:spacing w:val="-3"/>
          <w:sz w:val="22"/>
          <w:szCs w:val="22"/>
        </w:rPr>
        <w:t xml:space="preserve"> a Council of Australian Governments agreement to introduce mandatory fingerprinting of security providers</w:t>
      </w:r>
      <w:r w:rsidR="003E0C0A" w:rsidRPr="003436C4">
        <w:rPr>
          <w:rFonts w:cs="Arial"/>
          <w:bCs/>
          <w:spacing w:val="-3"/>
          <w:sz w:val="22"/>
          <w:szCs w:val="22"/>
        </w:rPr>
        <w:t>.</w:t>
      </w:r>
    </w:p>
    <w:p w:rsidR="00DA2A71" w:rsidRPr="003436C4" w:rsidRDefault="00DA2A71" w:rsidP="00DA2A71">
      <w:pPr>
        <w:tabs>
          <w:tab w:val="left" w:pos="567"/>
        </w:tabs>
        <w:jc w:val="both"/>
        <w:rPr>
          <w:rFonts w:cs="Arial"/>
          <w:bCs/>
          <w:i/>
          <w:spacing w:val="-3"/>
          <w:sz w:val="22"/>
          <w:szCs w:val="22"/>
        </w:rPr>
      </w:pPr>
    </w:p>
    <w:p w:rsidR="001156C8" w:rsidRPr="003436C4" w:rsidRDefault="00D214F1" w:rsidP="0031500E">
      <w:pPr>
        <w:numPr>
          <w:ilvl w:val="0"/>
          <w:numId w:val="12"/>
        </w:numPr>
        <w:tabs>
          <w:tab w:val="clear" w:pos="720"/>
          <w:tab w:val="left" w:pos="567"/>
        </w:tabs>
        <w:ind w:left="567" w:hanging="567"/>
        <w:jc w:val="both"/>
        <w:rPr>
          <w:rFonts w:cs="Arial"/>
          <w:bCs/>
          <w:spacing w:val="-3"/>
          <w:sz w:val="22"/>
          <w:szCs w:val="22"/>
        </w:rPr>
      </w:pPr>
      <w:r w:rsidRPr="003436C4">
        <w:rPr>
          <w:rFonts w:cs="Arial"/>
          <w:bCs/>
          <w:spacing w:val="-3"/>
          <w:sz w:val="22"/>
          <w:szCs w:val="22"/>
        </w:rPr>
        <w:t xml:space="preserve">The Bill contains </w:t>
      </w:r>
      <w:r w:rsidR="007D5486" w:rsidRPr="003436C4">
        <w:rPr>
          <w:rFonts w:cs="Arial"/>
          <w:bCs/>
          <w:spacing w:val="-3"/>
          <w:sz w:val="22"/>
          <w:szCs w:val="22"/>
        </w:rPr>
        <w:t>provisions to:</w:t>
      </w:r>
    </w:p>
    <w:p w:rsidR="007D5486" w:rsidRPr="003436C4" w:rsidRDefault="007D5486" w:rsidP="00AF0C1C">
      <w:pPr>
        <w:numPr>
          <w:ilvl w:val="0"/>
          <w:numId w:val="17"/>
        </w:numPr>
        <w:tabs>
          <w:tab w:val="clear" w:pos="927"/>
          <w:tab w:val="num" w:pos="1150"/>
        </w:tabs>
        <w:spacing w:before="120"/>
        <w:ind w:left="1146" w:hanging="573"/>
        <w:jc w:val="both"/>
        <w:rPr>
          <w:rFonts w:cs="Arial"/>
          <w:bCs/>
          <w:spacing w:val="-3"/>
          <w:sz w:val="22"/>
          <w:szCs w:val="22"/>
        </w:rPr>
      </w:pPr>
      <w:r w:rsidRPr="003436C4">
        <w:rPr>
          <w:rFonts w:cs="Arial"/>
          <w:bCs/>
          <w:spacing w:val="-3"/>
          <w:sz w:val="22"/>
          <w:szCs w:val="22"/>
        </w:rPr>
        <w:t xml:space="preserve">amend the </w:t>
      </w:r>
      <w:r w:rsidRPr="003436C4">
        <w:rPr>
          <w:rFonts w:cs="Arial"/>
          <w:bCs/>
          <w:i/>
          <w:spacing w:val="-3"/>
          <w:sz w:val="22"/>
          <w:szCs w:val="22"/>
        </w:rPr>
        <w:t xml:space="preserve">Fair Trading Act 1989 </w:t>
      </w:r>
      <w:r w:rsidRPr="003436C4">
        <w:rPr>
          <w:rFonts w:cs="Arial"/>
          <w:bCs/>
          <w:spacing w:val="-3"/>
          <w:sz w:val="22"/>
          <w:szCs w:val="22"/>
        </w:rPr>
        <w:t xml:space="preserve">to apply the ACL as a law of </w:t>
      </w:r>
      <w:smartTag w:uri="urn:schemas-microsoft-com:office:smarttags" w:element="State">
        <w:smartTag w:uri="urn:schemas-microsoft-com:office:smarttags" w:element="country-region">
          <w:r w:rsidRPr="003436C4">
            <w:rPr>
              <w:rFonts w:cs="Arial"/>
              <w:bCs/>
              <w:spacing w:val="-3"/>
              <w:sz w:val="22"/>
              <w:szCs w:val="22"/>
            </w:rPr>
            <w:t>Queensland</w:t>
          </w:r>
        </w:smartTag>
      </w:smartTag>
      <w:r w:rsidRPr="003436C4">
        <w:rPr>
          <w:rFonts w:cs="Arial"/>
          <w:bCs/>
          <w:spacing w:val="-3"/>
          <w:sz w:val="22"/>
          <w:szCs w:val="22"/>
        </w:rPr>
        <w:t>;</w:t>
      </w:r>
    </w:p>
    <w:p w:rsidR="001156C8" w:rsidRPr="003436C4" w:rsidRDefault="001156C8" w:rsidP="00AF0C1C">
      <w:pPr>
        <w:numPr>
          <w:ilvl w:val="0"/>
          <w:numId w:val="17"/>
        </w:numPr>
        <w:tabs>
          <w:tab w:val="clear" w:pos="927"/>
          <w:tab w:val="num" w:pos="1150"/>
        </w:tabs>
        <w:spacing w:before="120"/>
        <w:ind w:left="1146" w:hanging="573"/>
        <w:jc w:val="both"/>
        <w:rPr>
          <w:rFonts w:cs="Arial"/>
          <w:bCs/>
          <w:spacing w:val="-3"/>
          <w:sz w:val="22"/>
          <w:szCs w:val="22"/>
        </w:rPr>
      </w:pPr>
      <w:r w:rsidRPr="003436C4">
        <w:rPr>
          <w:rFonts w:cs="Arial"/>
          <w:bCs/>
          <w:spacing w:val="-3"/>
          <w:sz w:val="22"/>
          <w:szCs w:val="22"/>
        </w:rPr>
        <w:t>repeal sections of the F</w:t>
      </w:r>
      <w:r w:rsidR="003436C4">
        <w:rPr>
          <w:rFonts w:cs="Arial"/>
          <w:bCs/>
          <w:spacing w:val="-3"/>
          <w:sz w:val="22"/>
          <w:szCs w:val="22"/>
        </w:rPr>
        <w:t xml:space="preserve">air </w:t>
      </w:r>
      <w:r w:rsidRPr="003436C4">
        <w:rPr>
          <w:rFonts w:cs="Arial"/>
          <w:bCs/>
          <w:spacing w:val="-3"/>
          <w:sz w:val="22"/>
          <w:szCs w:val="22"/>
        </w:rPr>
        <w:t>T</w:t>
      </w:r>
      <w:r w:rsidR="003436C4">
        <w:rPr>
          <w:rFonts w:cs="Arial"/>
          <w:bCs/>
          <w:spacing w:val="-3"/>
          <w:sz w:val="22"/>
          <w:szCs w:val="22"/>
        </w:rPr>
        <w:t xml:space="preserve">rading </w:t>
      </w:r>
      <w:r w:rsidRPr="003436C4">
        <w:rPr>
          <w:rFonts w:cs="Arial"/>
          <w:bCs/>
          <w:spacing w:val="-3"/>
          <w:sz w:val="22"/>
          <w:szCs w:val="22"/>
        </w:rPr>
        <w:t>A</w:t>
      </w:r>
      <w:r w:rsidR="003436C4">
        <w:rPr>
          <w:rFonts w:cs="Arial"/>
          <w:bCs/>
          <w:spacing w:val="-3"/>
          <w:sz w:val="22"/>
          <w:szCs w:val="22"/>
        </w:rPr>
        <w:t xml:space="preserve">ct </w:t>
      </w:r>
      <w:r w:rsidRPr="003436C4">
        <w:rPr>
          <w:rFonts w:cs="Arial"/>
          <w:bCs/>
          <w:spacing w:val="-3"/>
          <w:sz w:val="22"/>
          <w:szCs w:val="22"/>
        </w:rPr>
        <w:t>that will be replaced by the ACL;</w:t>
      </w:r>
    </w:p>
    <w:p w:rsidR="008E45C4" w:rsidRPr="003436C4" w:rsidRDefault="001156C8" w:rsidP="00AF0C1C">
      <w:pPr>
        <w:numPr>
          <w:ilvl w:val="0"/>
          <w:numId w:val="17"/>
        </w:numPr>
        <w:tabs>
          <w:tab w:val="clear" w:pos="927"/>
          <w:tab w:val="num" w:pos="1150"/>
        </w:tabs>
        <w:spacing w:before="120"/>
        <w:ind w:left="1146" w:hanging="573"/>
        <w:jc w:val="both"/>
        <w:rPr>
          <w:rFonts w:cs="Arial"/>
          <w:bCs/>
          <w:spacing w:val="-3"/>
          <w:sz w:val="22"/>
          <w:szCs w:val="22"/>
        </w:rPr>
      </w:pPr>
      <w:r w:rsidRPr="003436C4">
        <w:rPr>
          <w:rFonts w:cs="Arial"/>
          <w:bCs/>
          <w:spacing w:val="-3"/>
          <w:sz w:val="22"/>
          <w:szCs w:val="22"/>
        </w:rPr>
        <w:t>to repeal sections of other Queensland Acts that will be replaced by substantively similar sections of the ACL;</w:t>
      </w:r>
      <w:r w:rsidR="00B27D8F">
        <w:rPr>
          <w:rFonts w:cs="Arial"/>
          <w:bCs/>
          <w:spacing w:val="-3"/>
          <w:sz w:val="22"/>
          <w:szCs w:val="22"/>
        </w:rPr>
        <w:t xml:space="preserve"> and</w:t>
      </w:r>
    </w:p>
    <w:p w:rsidR="00102E64" w:rsidRPr="003436C4" w:rsidRDefault="009A4AB1" w:rsidP="00AF0C1C">
      <w:pPr>
        <w:numPr>
          <w:ilvl w:val="0"/>
          <w:numId w:val="17"/>
        </w:numPr>
        <w:tabs>
          <w:tab w:val="clear" w:pos="927"/>
          <w:tab w:val="num" w:pos="1150"/>
        </w:tabs>
        <w:spacing w:before="120"/>
        <w:ind w:left="1146" w:hanging="573"/>
        <w:jc w:val="both"/>
        <w:rPr>
          <w:rFonts w:cs="Arial"/>
          <w:bCs/>
          <w:spacing w:val="-3"/>
          <w:sz w:val="22"/>
          <w:szCs w:val="22"/>
        </w:rPr>
      </w:pPr>
      <w:r w:rsidRPr="003436C4">
        <w:rPr>
          <w:rFonts w:cs="Arial"/>
          <w:bCs/>
          <w:spacing w:val="-3"/>
          <w:sz w:val="22"/>
          <w:szCs w:val="22"/>
        </w:rPr>
        <w:t>require all security providers to be fingerprinted, allow the fingerprint records to be retained for the duration of a security provider’s licence, outline the uses of the fingerprint records, and require the fingerprint records to be destroyed when a security provider’s licence ceases or is cancelled.</w:t>
      </w:r>
    </w:p>
    <w:p w:rsidR="00D214F1" w:rsidRPr="003436C4" w:rsidRDefault="00D214F1" w:rsidP="00D214F1">
      <w:pPr>
        <w:jc w:val="both"/>
        <w:rPr>
          <w:rFonts w:cs="Arial"/>
          <w:bCs/>
          <w:spacing w:val="-3"/>
          <w:sz w:val="22"/>
          <w:szCs w:val="22"/>
        </w:rPr>
      </w:pPr>
    </w:p>
    <w:p w:rsidR="00A17B4D" w:rsidRPr="003436C4" w:rsidRDefault="00D214F1" w:rsidP="00D214F1">
      <w:pPr>
        <w:numPr>
          <w:ilvl w:val="0"/>
          <w:numId w:val="12"/>
        </w:numPr>
        <w:tabs>
          <w:tab w:val="clear" w:pos="720"/>
          <w:tab w:val="left" w:pos="567"/>
        </w:tabs>
        <w:ind w:left="567" w:hanging="567"/>
        <w:jc w:val="both"/>
        <w:rPr>
          <w:rFonts w:cs="Arial"/>
          <w:bCs/>
          <w:spacing w:val="-3"/>
          <w:sz w:val="22"/>
          <w:szCs w:val="22"/>
        </w:rPr>
      </w:pPr>
      <w:r w:rsidRPr="003436C4">
        <w:rPr>
          <w:rFonts w:cs="Arial"/>
          <w:sz w:val="22"/>
          <w:szCs w:val="22"/>
          <w:u w:val="single"/>
        </w:rPr>
        <w:t>Cabinet approved</w:t>
      </w:r>
      <w:r w:rsidRPr="003436C4">
        <w:rPr>
          <w:rFonts w:cs="Arial"/>
          <w:sz w:val="22"/>
          <w:szCs w:val="22"/>
        </w:rPr>
        <w:t xml:space="preserve"> that the </w:t>
      </w:r>
      <w:r w:rsidR="00ED2F3C" w:rsidRPr="00B27D8F">
        <w:rPr>
          <w:rFonts w:cs="Arial"/>
          <w:sz w:val="22"/>
          <w:szCs w:val="22"/>
        </w:rPr>
        <w:t>Fair Trading (Australian Consumer Law) Amendment Bill</w:t>
      </w:r>
      <w:r w:rsidR="00A17B4D" w:rsidRPr="00B27D8F">
        <w:rPr>
          <w:rFonts w:cs="Arial"/>
          <w:sz w:val="22"/>
          <w:szCs w:val="22"/>
        </w:rPr>
        <w:t xml:space="preserve"> 2010</w:t>
      </w:r>
      <w:r w:rsidR="00A17B4D" w:rsidRPr="003436C4">
        <w:rPr>
          <w:rFonts w:cs="Arial"/>
          <w:i/>
          <w:sz w:val="22"/>
          <w:szCs w:val="22"/>
        </w:rPr>
        <w:t xml:space="preserve"> </w:t>
      </w:r>
      <w:r w:rsidR="00A17B4D" w:rsidRPr="003436C4">
        <w:rPr>
          <w:rFonts w:cs="Arial"/>
          <w:sz w:val="22"/>
          <w:szCs w:val="22"/>
        </w:rPr>
        <w:t>be introduced into the Legislative Assembly.</w:t>
      </w:r>
    </w:p>
    <w:p w:rsidR="00D214F1" w:rsidRPr="003436C4" w:rsidRDefault="00D214F1" w:rsidP="00AF0C1C">
      <w:pPr>
        <w:spacing w:before="120"/>
        <w:jc w:val="both"/>
        <w:rPr>
          <w:rFonts w:cs="Arial"/>
          <w:sz w:val="22"/>
          <w:szCs w:val="22"/>
        </w:rPr>
      </w:pPr>
    </w:p>
    <w:p w:rsidR="00D214F1" w:rsidRPr="003436C4" w:rsidRDefault="00D214F1" w:rsidP="00D214F1">
      <w:pPr>
        <w:keepNext/>
        <w:numPr>
          <w:ilvl w:val="0"/>
          <w:numId w:val="12"/>
        </w:numPr>
        <w:tabs>
          <w:tab w:val="clear" w:pos="720"/>
          <w:tab w:val="left" w:pos="567"/>
        </w:tabs>
        <w:ind w:left="567" w:hanging="567"/>
        <w:jc w:val="both"/>
        <w:rPr>
          <w:rFonts w:cs="Arial"/>
          <w:sz w:val="22"/>
          <w:szCs w:val="22"/>
        </w:rPr>
      </w:pPr>
      <w:r w:rsidRPr="003436C4">
        <w:rPr>
          <w:rFonts w:cs="Arial"/>
          <w:i/>
          <w:sz w:val="22"/>
          <w:szCs w:val="22"/>
          <w:u w:val="single"/>
        </w:rPr>
        <w:t>Attachments</w:t>
      </w:r>
    </w:p>
    <w:p w:rsidR="00A17B4D" w:rsidRPr="00AF0C1C" w:rsidRDefault="001628D8" w:rsidP="00AF0C1C">
      <w:pPr>
        <w:numPr>
          <w:ilvl w:val="0"/>
          <w:numId w:val="13"/>
        </w:numPr>
        <w:tabs>
          <w:tab w:val="clear" w:pos="814"/>
          <w:tab w:val="left" w:pos="1134"/>
        </w:tabs>
        <w:spacing w:before="120"/>
        <w:ind w:left="1134" w:hanging="567"/>
        <w:jc w:val="both"/>
        <w:rPr>
          <w:rFonts w:cs="Arial"/>
          <w:sz w:val="22"/>
          <w:szCs w:val="22"/>
        </w:rPr>
      </w:pPr>
      <w:hyperlink r:id="rId7" w:history="1">
        <w:r w:rsidR="00ED2F3C" w:rsidRPr="00AF0C1C">
          <w:rPr>
            <w:rStyle w:val="Hyperlink"/>
            <w:rFonts w:cs="Arial"/>
            <w:sz w:val="22"/>
            <w:szCs w:val="22"/>
          </w:rPr>
          <w:t>Fair Trading (Australian Consumer Law) Amendment Bill</w:t>
        </w:r>
        <w:r w:rsidR="00A17B4D" w:rsidRPr="00AF0C1C">
          <w:rPr>
            <w:rStyle w:val="Hyperlink"/>
            <w:rFonts w:cs="Arial"/>
            <w:sz w:val="22"/>
            <w:szCs w:val="22"/>
          </w:rPr>
          <w:t xml:space="preserve"> 2010</w:t>
        </w:r>
      </w:hyperlink>
    </w:p>
    <w:p w:rsidR="00270CC7" w:rsidRPr="00AF0C1C" w:rsidRDefault="001628D8" w:rsidP="00AF0C1C">
      <w:pPr>
        <w:numPr>
          <w:ilvl w:val="0"/>
          <w:numId w:val="13"/>
        </w:numPr>
        <w:tabs>
          <w:tab w:val="clear" w:pos="814"/>
          <w:tab w:val="left" w:pos="1134"/>
        </w:tabs>
        <w:spacing w:before="120"/>
        <w:ind w:left="1134" w:hanging="567"/>
        <w:jc w:val="both"/>
        <w:rPr>
          <w:rFonts w:cs="Arial"/>
          <w:sz w:val="22"/>
          <w:szCs w:val="22"/>
        </w:rPr>
      </w:pPr>
      <w:hyperlink r:id="rId8" w:history="1">
        <w:r w:rsidR="00A17B4D" w:rsidRPr="00AF0C1C">
          <w:rPr>
            <w:rStyle w:val="Hyperlink"/>
            <w:rFonts w:cs="Arial"/>
            <w:sz w:val="22"/>
            <w:szCs w:val="22"/>
          </w:rPr>
          <w:t>Explanatory Notes</w:t>
        </w:r>
      </w:hyperlink>
    </w:p>
    <w:sectPr w:rsidR="00270CC7" w:rsidRPr="00AF0C1C" w:rsidSect="00AF0C1C">
      <w:headerReference w:type="default" r:id="rId9"/>
      <w:footerReference w:type="default" r:id="rId10"/>
      <w:headerReference w:type="first" r:id="rId11"/>
      <w:pgSz w:w="11907" w:h="16840" w:code="9"/>
      <w:pgMar w:top="1418" w:right="1418" w:bottom="1191" w:left="1418" w:header="851" w:footer="851"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C9" w:rsidRDefault="008A59C9">
      <w:r>
        <w:separator/>
      </w:r>
    </w:p>
  </w:endnote>
  <w:endnote w:type="continuationSeparator" w:id="0">
    <w:p w:rsidR="008A59C9" w:rsidRDefault="008A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C1C" w:rsidRPr="001141E1" w:rsidRDefault="00AF0C1C" w:rsidP="00B2549A">
    <w:pPr>
      <w:pStyle w:val="Footer"/>
      <w:tabs>
        <w:tab w:val="right" w:pos="8820"/>
      </w:tabs>
      <w:rPr>
        <w:rFonts w:cs="Arial"/>
        <w:sz w:val="16"/>
        <w:szCs w:val="16"/>
      </w:rPr>
    </w:pPr>
    <w:r w:rsidRPr="001141E1">
      <w:rPr>
        <w:rFonts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C9" w:rsidRDefault="008A59C9">
      <w:r>
        <w:separator/>
      </w:r>
    </w:p>
  </w:footnote>
  <w:footnote w:type="continuationSeparator" w:id="0">
    <w:p w:rsidR="008A59C9" w:rsidRDefault="008A5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C1C" w:rsidRPr="000400F9" w:rsidRDefault="0019515F" w:rsidP="00B2549A">
    <w:pPr>
      <w:pStyle w:val="Header"/>
      <w:ind w:firstLine="2880"/>
      <w:rPr>
        <w:rFonts w:cs="Arial"/>
        <w:b/>
        <w:sz w:val="22"/>
        <w:szCs w:val="22"/>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5" name="Picture 5"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F0C1C" w:rsidRPr="000400F9">
      <w:rPr>
        <w:rFonts w:cs="Arial"/>
        <w:b/>
        <w:sz w:val="22"/>
        <w:szCs w:val="22"/>
        <w:u w:val="single"/>
      </w:rPr>
      <w:t xml:space="preserve">Cabinet – </w:t>
    </w:r>
    <w:r w:rsidR="00AF0C1C">
      <w:rPr>
        <w:rFonts w:cs="Arial"/>
        <w:b/>
        <w:sz w:val="22"/>
        <w:szCs w:val="22"/>
        <w:u w:val="single"/>
      </w:rPr>
      <w:t>month year</w:t>
    </w:r>
  </w:p>
  <w:p w:rsidR="00AF0C1C" w:rsidRDefault="00AF0C1C" w:rsidP="00B2549A">
    <w:pPr>
      <w:pStyle w:val="Header"/>
      <w:spacing w:before="120"/>
      <w:rPr>
        <w:rFonts w:cs="Arial"/>
        <w:b/>
        <w:sz w:val="22"/>
        <w:szCs w:val="22"/>
        <w:u w:val="single"/>
      </w:rPr>
    </w:pPr>
    <w:r>
      <w:rPr>
        <w:rFonts w:cs="Arial"/>
        <w:b/>
        <w:sz w:val="22"/>
        <w:szCs w:val="22"/>
        <w:u w:val="single"/>
      </w:rPr>
      <w:t>submission subject</w:t>
    </w:r>
  </w:p>
  <w:p w:rsidR="00AF0C1C" w:rsidRDefault="00AF0C1C" w:rsidP="00B2549A">
    <w:pPr>
      <w:pStyle w:val="Header"/>
      <w:spacing w:before="120"/>
      <w:rPr>
        <w:rFonts w:cs="Arial"/>
        <w:b/>
        <w:sz w:val="22"/>
        <w:szCs w:val="22"/>
        <w:u w:val="single"/>
      </w:rPr>
    </w:pPr>
    <w:r>
      <w:rPr>
        <w:rFonts w:cs="Arial"/>
        <w:b/>
        <w:sz w:val="22"/>
        <w:szCs w:val="22"/>
        <w:u w:val="single"/>
      </w:rPr>
      <w:t>Minister/s title</w:t>
    </w:r>
  </w:p>
  <w:p w:rsidR="00AF0C1C" w:rsidRPr="00F10DF9" w:rsidRDefault="00AF0C1C" w:rsidP="00B2549A">
    <w:pPr>
      <w:pStyle w:val="Header"/>
      <w:pBdr>
        <w:bottom w:val="single" w:sz="8" w:space="1" w:color="auto"/>
      </w:pBdr>
      <w:spacing w:line="180" w:lineRule="exact"/>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C1C" w:rsidRPr="003436C4" w:rsidRDefault="0019515F" w:rsidP="005D76E5">
    <w:pPr>
      <w:pStyle w:val="Header"/>
      <w:ind w:firstLine="2880"/>
      <w:rPr>
        <w:rFonts w:cs="Arial"/>
        <w:b/>
        <w:sz w:val="22"/>
        <w:szCs w:val="22"/>
        <w:u w:val="single"/>
      </w:rPr>
    </w:pPr>
    <w:r>
      <w:rPr>
        <w:rFonts w:cs="Arial"/>
        <w:noProof/>
        <w:sz w:val="22"/>
        <w:szCs w:val="22"/>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6" name="Picture 6"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F0C1C" w:rsidRPr="003436C4">
      <w:rPr>
        <w:rFonts w:cs="Arial"/>
        <w:b/>
        <w:sz w:val="22"/>
        <w:szCs w:val="22"/>
        <w:u w:val="single"/>
      </w:rPr>
      <w:t xml:space="preserve">Cabinet – </w:t>
    </w:r>
    <w:r w:rsidR="00AF0C1C">
      <w:rPr>
        <w:rFonts w:cs="Arial"/>
        <w:b/>
        <w:sz w:val="22"/>
        <w:szCs w:val="22"/>
        <w:u w:val="single"/>
      </w:rPr>
      <w:t>August 2010</w:t>
    </w:r>
  </w:p>
  <w:p w:rsidR="00AF0C1C" w:rsidRPr="003436C4" w:rsidRDefault="00AF0C1C" w:rsidP="00AF0C1C">
    <w:pPr>
      <w:pStyle w:val="Header"/>
      <w:spacing w:before="120"/>
      <w:rPr>
        <w:rFonts w:cs="Arial"/>
        <w:b/>
        <w:sz w:val="22"/>
        <w:szCs w:val="22"/>
        <w:u w:val="single"/>
      </w:rPr>
    </w:pPr>
    <w:r w:rsidRPr="003436C4">
      <w:rPr>
        <w:rFonts w:cs="Arial"/>
        <w:b/>
        <w:sz w:val="22"/>
        <w:szCs w:val="22"/>
        <w:u w:val="single"/>
      </w:rPr>
      <w:t xml:space="preserve">Fair Trading (Australian Consumer Law) Amendment Bill 2010 </w:t>
    </w:r>
  </w:p>
  <w:p w:rsidR="00AF0C1C" w:rsidRPr="003436C4" w:rsidRDefault="00AF0C1C" w:rsidP="00AF0C1C">
    <w:pPr>
      <w:pStyle w:val="Header"/>
      <w:spacing w:before="120"/>
      <w:rPr>
        <w:rFonts w:cs="Arial"/>
        <w:b/>
        <w:sz w:val="22"/>
        <w:szCs w:val="22"/>
        <w:u w:val="single"/>
      </w:rPr>
    </w:pPr>
    <w:r w:rsidRPr="003436C4">
      <w:rPr>
        <w:rFonts w:cs="Arial"/>
        <w:b/>
        <w:sz w:val="22"/>
        <w:szCs w:val="22"/>
        <w:u w:val="single"/>
      </w:rPr>
      <w:t>Minister for Tourism and Fair Trading</w:t>
    </w:r>
  </w:p>
  <w:p w:rsidR="00AF0C1C" w:rsidRPr="008C2239" w:rsidRDefault="00AF0C1C" w:rsidP="00B2549A">
    <w:pPr>
      <w:pStyle w:val="Header"/>
      <w:pBdr>
        <w:bottom w:val="single" w:sz="8" w:space="1" w:color="auto"/>
      </w:pBdr>
      <w:spacing w:line="18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FD68368"/>
    <w:lvl w:ilvl="0">
      <w:numFmt w:val="bullet"/>
      <w:lvlText w:val="*"/>
      <w:lvlJc w:val="left"/>
    </w:lvl>
  </w:abstractNum>
  <w:abstractNum w:abstractNumId="1" w15:restartNumberingAfterBreak="0">
    <w:nsid w:val="02E718AB"/>
    <w:multiLevelType w:val="hybridMultilevel"/>
    <w:tmpl w:val="FF5293AC"/>
    <w:lvl w:ilvl="0" w:tplc="16B0E0C8">
      <w:start w:val="1"/>
      <w:numFmt w:val="bullet"/>
      <w:lvlText w:val=""/>
      <w:lvlJc w:val="left"/>
      <w:pPr>
        <w:tabs>
          <w:tab w:val="num" w:pos="567"/>
        </w:tabs>
        <w:ind w:left="567"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802ED"/>
    <w:multiLevelType w:val="multilevel"/>
    <w:tmpl w:val="E23A8E26"/>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127A83"/>
    <w:multiLevelType w:val="hybridMultilevel"/>
    <w:tmpl w:val="8D28B38C"/>
    <w:lvl w:ilvl="0" w:tplc="C2BC2E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07D3C31"/>
    <w:multiLevelType w:val="hybridMultilevel"/>
    <w:tmpl w:val="71D45DE4"/>
    <w:lvl w:ilvl="0" w:tplc="40126C86">
      <w:start w:val="1"/>
      <w:numFmt w:val="decimal"/>
      <w:lvlText w:val="%1."/>
      <w:lvlJc w:val="left"/>
      <w:pPr>
        <w:tabs>
          <w:tab w:val="num" w:pos="567"/>
        </w:tabs>
        <w:ind w:left="567" w:hanging="56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184F91"/>
    <w:multiLevelType w:val="multilevel"/>
    <w:tmpl w:val="28CEA982"/>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3B04F92"/>
    <w:multiLevelType w:val="hybridMultilevel"/>
    <w:tmpl w:val="CBFE48BE"/>
    <w:lvl w:ilvl="0" w:tplc="5D90C296">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E924B69"/>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F1F62CD"/>
    <w:multiLevelType w:val="hybridMultilevel"/>
    <w:tmpl w:val="2C0671E0"/>
    <w:lvl w:ilvl="0" w:tplc="46E89E78">
      <w:start w:val="1"/>
      <w:numFmt w:val="lowerRoman"/>
      <w:lvlText w:val="(%1)"/>
      <w:lvlJc w:val="left"/>
      <w:pPr>
        <w:tabs>
          <w:tab w:val="num" w:pos="927"/>
        </w:tabs>
        <w:ind w:left="92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4C95239"/>
    <w:multiLevelType w:val="hybridMultilevel"/>
    <w:tmpl w:val="2724DECC"/>
    <w:lvl w:ilvl="0" w:tplc="BE1E01F0">
      <w:start w:val="1"/>
      <w:numFmt w:val="decimal"/>
      <w:lvlText w:val="%1."/>
      <w:lvlJc w:val="left"/>
      <w:pPr>
        <w:tabs>
          <w:tab w:val="num" w:pos="567"/>
        </w:tabs>
        <w:ind w:left="567" w:hanging="567"/>
      </w:pPr>
      <w:rPr>
        <w:rFonts w:ascii="Times New Roman" w:hAnsi="Times New Roman" w:hint="default"/>
        <w:b w:val="0"/>
        <w:i w:val="0"/>
        <w:sz w:val="24"/>
        <w:szCs w:val="24"/>
      </w:rPr>
    </w:lvl>
    <w:lvl w:ilvl="1" w:tplc="04090001">
      <w:start w:val="1"/>
      <w:numFmt w:val="bullet"/>
      <w:lvlText w:val=""/>
      <w:lvlJc w:val="left"/>
      <w:pPr>
        <w:tabs>
          <w:tab w:val="num" w:pos="360"/>
        </w:tabs>
        <w:ind w:left="360" w:hanging="360"/>
      </w:pPr>
      <w:rPr>
        <w:rFonts w:ascii="Symbol" w:hAnsi="Symbo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194E30"/>
    <w:multiLevelType w:val="multilevel"/>
    <w:tmpl w:val="E8AC9BE0"/>
    <w:lvl w:ilvl="0">
      <w:start w:val="5"/>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AEC3F4A"/>
    <w:multiLevelType w:val="multilevel"/>
    <w:tmpl w:val="E8AC9BE0"/>
    <w:lvl w:ilvl="0">
      <w:start w:val="5"/>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CA40DFA"/>
    <w:multiLevelType w:val="hybridMultilevel"/>
    <w:tmpl w:val="C6C29E6A"/>
    <w:lvl w:ilvl="0" w:tplc="EE56FED4">
      <w:start w:val="1"/>
      <w:numFmt w:val="bullet"/>
      <w:lvlText w:val=""/>
      <w:lvlJc w:val="left"/>
      <w:pPr>
        <w:tabs>
          <w:tab w:val="num" w:pos="360"/>
        </w:tabs>
        <w:ind w:left="284" w:hanging="284"/>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C0E7F"/>
    <w:multiLevelType w:val="multilevel"/>
    <w:tmpl w:val="8D28B38C"/>
    <w:lvl w:ilvl="0">
      <w:start w:val="1"/>
      <w:numFmt w:val="lowerRoman"/>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01113A3"/>
    <w:multiLevelType w:val="hybridMultilevel"/>
    <w:tmpl w:val="393C365E"/>
    <w:lvl w:ilvl="0" w:tplc="64E289DA">
      <w:start w:val="1"/>
      <w:numFmt w:val="decimal"/>
      <w:lvlText w:val="%1."/>
      <w:lvlJc w:val="left"/>
      <w:pPr>
        <w:tabs>
          <w:tab w:val="num" w:pos="567"/>
        </w:tabs>
        <w:ind w:left="567" w:hanging="567"/>
      </w:pPr>
      <w:rPr>
        <w:rFonts w:ascii="Times New Roman" w:hAnsi="Times New Roman" w:hint="default"/>
        <w:b w:val="0"/>
        <w:i w:val="0"/>
        <w:sz w:val="24"/>
        <w:szCs w:val="24"/>
      </w:rPr>
    </w:lvl>
    <w:lvl w:ilvl="1" w:tplc="94923B54">
      <w:start w:val="1"/>
      <w:numFmt w:val="bullet"/>
      <w:lvlText w:val=""/>
      <w:lvlJc w:val="left"/>
      <w:pPr>
        <w:tabs>
          <w:tab w:val="num" w:pos="567"/>
        </w:tabs>
        <w:ind w:left="567" w:hanging="567"/>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427D55"/>
    <w:multiLevelType w:val="hybridMultilevel"/>
    <w:tmpl w:val="A4386DA2"/>
    <w:lvl w:ilvl="0" w:tplc="53985458">
      <w:start w:val="1"/>
      <w:numFmt w:val="bullet"/>
      <w:lvlText w:val=""/>
      <w:lvlJc w:val="left"/>
      <w:pPr>
        <w:tabs>
          <w:tab w:val="num" w:pos="814"/>
        </w:tabs>
        <w:ind w:left="814" w:hanging="454"/>
      </w:pPr>
      <w:rPr>
        <w:rFonts w:ascii="Symbol" w:hAnsi="Symbol" w:hint="default"/>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F176F87"/>
    <w:multiLevelType w:val="hybridMultilevel"/>
    <w:tmpl w:val="1DF24244"/>
    <w:lvl w:ilvl="0" w:tplc="8ED64AB8">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F907DD5"/>
    <w:multiLevelType w:val="hybridMultilevel"/>
    <w:tmpl w:val="3DB248AE"/>
    <w:lvl w:ilvl="0" w:tplc="B8448A80">
      <w:start w:val="1"/>
      <w:numFmt w:val="decimal"/>
      <w:lvlText w:val="(%1)"/>
      <w:lvlJc w:val="left"/>
      <w:pPr>
        <w:tabs>
          <w:tab w:val="num" w:pos="454"/>
        </w:tabs>
        <w:ind w:left="454" w:hanging="454"/>
      </w:pPr>
      <w:rPr>
        <w:rFonts w:ascii="Arial" w:hAnsi="Arial" w:cs="Arial" w:hint="default"/>
      </w:rPr>
    </w:lvl>
    <w:lvl w:ilvl="1" w:tplc="572CA81E">
      <w:start w:val="1"/>
      <w:numFmt w:val="lowerLetter"/>
      <w:lvlText w:val="(%2)"/>
      <w:lvlJc w:val="left"/>
      <w:pPr>
        <w:tabs>
          <w:tab w:val="num" w:pos="907"/>
        </w:tabs>
        <w:ind w:left="907" w:hanging="453"/>
      </w:pPr>
      <w:rPr>
        <w:rFonts w:hint="default"/>
      </w:rPr>
    </w:lvl>
    <w:lvl w:ilvl="2" w:tplc="3EF82F70">
      <w:start w:val="1"/>
      <w:numFmt w:val="lowerRoman"/>
      <w:lvlText w:val="(%3)"/>
      <w:lvlJc w:val="left"/>
      <w:pPr>
        <w:tabs>
          <w:tab w:val="num" w:pos="1361"/>
        </w:tabs>
        <w:ind w:left="1361" w:hanging="454"/>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4"/>
  </w:num>
  <w:num w:numId="4">
    <w:abstractNumId w:val="2"/>
  </w:num>
  <w:num w:numId="5">
    <w:abstractNumId w:val="10"/>
  </w:num>
  <w:num w:numId="6">
    <w:abstractNumId w:val="11"/>
  </w:num>
  <w:num w:numId="7">
    <w:abstractNumId w:val="5"/>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2"/>
  </w:num>
  <w:num w:numId="10">
    <w:abstractNumId w:val="9"/>
  </w:num>
  <w:num w:numId="11">
    <w:abstractNumId w:val="6"/>
  </w:num>
  <w:num w:numId="12">
    <w:abstractNumId w:val="16"/>
  </w:num>
  <w:num w:numId="13">
    <w:abstractNumId w:val="15"/>
  </w:num>
  <w:num w:numId="14">
    <w:abstractNumId w:val="3"/>
  </w:num>
  <w:num w:numId="15">
    <w:abstractNumId w:val="7"/>
  </w:num>
  <w:num w:numId="16">
    <w:abstractNumId w:val="13"/>
  </w:num>
  <w:num w:numId="17">
    <w:abstractNumId w:va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30"/>
    <w:rsid w:val="0000211D"/>
    <w:rsid w:val="00007763"/>
    <w:rsid w:val="00011D73"/>
    <w:rsid w:val="00016B8A"/>
    <w:rsid w:val="00024A19"/>
    <w:rsid w:val="0002652F"/>
    <w:rsid w:val="0002796C"/>
    <w:rsid w:val="000574E3"/>
    <w:rsid w:val="00071F2C"/>
    <w:rsid w:val="0007243C"/>
    <w:rsid w:val="000914C5"/>
    <w:rsid w:val="00092893"/>
    <w:rsid w:val="00095D12"/>
    <w:rsid w:val="000B04FB"/>
    <w:rsid w:val="000B1A24"/>
    <w:rsid w:val="000C21D6"/>
    <w:rsid w:val="000D0AD0"/>
    <w:rsid w:val="000E10E5"/>
    <w:rsid w:val="000E2A57"/>
    <w:rsid w:val="000F3C62"/>
    <w:rsid w:val="00101AC5"/>
    <w:rsid w:val="00102E64"/>
    <w:rsid w:val="00110DAC"/>
    <w:rsid w:val="00111490"/>
    <w:rsid w:val="001156C8"/>
    <w:rsid w:val="0012123B"/>
    <w:rsid w:val="00125AB4"/>
    <w:rsid w:val="001429F0"/>
    <w:rsid w:val="00152FD0"/>
    <w:rsid w:val="001628D8"/>
    <w:rsid w:val="00165F55"/>
    <w:rsid w:val="001745CC"/>
    <w:rsid w:val="001808D2"/>
    <w:rsid w:val="00192FD7"/>
    <w:rsid w:val="001942C5"/>
    <w:rsid w:val="0019515F"/>
    <w:rsid w:val="00195B84"/>
    <w:rsid w:val="001A50CB"/>
    <w:rsid w:val="001B148F"/>
    <w:rsid w:val="001C29FB"/>
    <w:rsid w:val="001C5BFA"/>
    <w:rsid w:val="001C775B"/>
    <w:rsid w:val="00202448"/>
    <w:rsid w:val="002116F9"/>
    <w:rsid w:val="00231B6C"/>
    <w:rsid w:val="002367AE"/>
    <w:rsid w:val="00237A4B"/>
    <w:rsid w:val="00261540"/>
    <w:rsid w:val="00270CC7"/>
    <w:rsid w:val="00276267"/>
    <w:rsid w:val="002A2451"/>
    <w:rsid w:val="002A4D25"/>
    <w:rsid w:val="002C1AF2"/>
    <w:rsid w:val="002C336C"/>
    <w:rsid w:val="002D41ED"/>
    <w:rsid w:val="002E6810"/>
    <w:rsid w:val="00306EC2"/>
    <w:rsid w:val="0031500E"/>
    <w:rsid w:val="003436C4"/>
    <w:rsid w:val="00365D66"/>
    <w:rsid w:val="00376AA5"/>
    <w:rsid w:val="00381284"/>
    <w:rsid w:val="00393099"/>
    <w:rsid w:val="00394E58"/>
    <w:rsid w:val="003A0287"/>
    <w:rsid w:val="003D242A"/>
    <w:rsid w:val="003E0C0A"/>
    <w:rsid w:val="003E1BD8"/>
    <w:rsid w:val="003F75D7"/>
    <w:rsid w:val="004208A1"/>
    <w:rsid w:val="00455EA1"/>
    <w:rsid w:val="004606CD"/>
    <w:rsid w:val="00481179"/>
    <w:rsid w:val="0048124C"/>
    <w:rsid w:val="00483AA1"/>
    <w:rsid w:val="00492DEB"/>
    <w:rsid w:val="00496FCD"/>
    <w:rsid w:val="004A3FE2"/>
    <w:rsid w:val="004A5E20"/>
    <w:rsid w:val="004B67F8"/>
    <w:rsid w:val="004B71B2"/>
    <w:rsid w:val="004D0A23"/>
    <w:rsid w:val="004D77C9"/>
    <w:rsid w:val="004E4410"/>
    <w:rsid w:val="004F1AAA"/>
    <w:rsid w:val="00514EA2"/>
    <w:rsid w:val="005350E5"/>
    <w:rsid w:val="00536495"/>
    <w:rsid w:val="0055317F"/>
    <w:rsid w:val="005550CB"/>
    <w:rsid w:val="005922D7"/>
    <w:rsid w:val="005B1BE9"/>
    <w:rsid w:val="005B2A9A"/>
    <w:rsid w:val="005B4839"/>
    <w:rsid w:val="005B5C6B"/>
    <w:rsid w:val="005D76E5"/>
    <w:rsid w:val="005E040E"/>
    <w:rsid w:val="005E219C"/>
    <w:rsid w:val="005E2DA7"/>
    <w:rsid w:val="005F4A5A"/>
    <w:rsid w:val="005F7FE9"/>
    <w:rsid w:val="00657980"/>
    <w:rsid w:val="006669FE"/>
    <w:rsid w:val="006945E1"/>
    <w:rsid w:val="00696BCA"/>
    <w:rsid w:val="006A434B"/>
    <w:rsid w:val="006C4C95"/>
    <w:rsid w:val="006D20F4"/>
    <w:rsid w:val="006D4490"/>
    <w:rsid w:val="006E62E5"/>
    <w:rsid w:val="006F4700"/>
    <w:rsid w:val="00700908"/>
    <w:rsid w:val="007052F5"/>
    <w:rsid w:val="007077BB"/>
    <w:rsid w:val="007163CA"/>
    <w:rsid w:val="00732D4D"/>
    <w:rsid w:val="0073393A"/>
    <w:rsid w:val="00733D43"/>
    <w:rsid w:val="00745198"/>
    <w:rsid w:val="00750FED"/>
    <w:rsid w:val="00751A43"/>
    <w:rsid w:val="007640CF"/>
    <w:rsid w:val="0077099C"/>
    <w:rsid w:val="007725D7"/>
    <w:rsid w:val="007A433D"/>
    <w:rsid w:val="007B6932"/>
    <w:rsid w:val="007B7D1B"/>
    <w:rsid w:val="007C09B4"/>
    <w:rsid w:val="007C23B2"/>
    <w:rsid w:val="007D1D57"/>
    <w:rsid w:val="007D5486"/>
    <w:rsid w:val="007E01AD"/>
    <w:rsid w:val="00803F18"/>
    <w:rsid w:val="00804060"/>
    <w:rsid w:val="00804B60"/>
    <w:rsid w:val="00811F60"/>
    <w:rsid w:val="0082727D"/>
    <w:rsid w:val="0085556B"/>
    <w:rsid w:val="00856313"/>
    <w:rsid w:val="00867EE3"/>
    <w:rsid w:val="008808CE"/>
    <w:rsid w:val="008941B0"/>
    <w:rsid w:val="008A117E"/>
    <w:rsid w:val="008A59C9"/>
    <w:rsid w:val="008C2239"/>
    <w:rsid w:val="008D4A2E"/>
    <w:rsid w:val="008D587D"/>
    <w:rsid w:val="008E45C4"/>
    <w:rsid w:val="008E6738"/>
    <w:rsid w:val="008F16B3"/>
    <w:rsid w:val="00916DA5"/>
    <w:rsid w:val="009232ED"/>
    <w:rsid w:val="0093539A"/>
    <w:rsid w:val="00935CEB"/>
    <w:rsid w:val="009479CC"/>
    <w:rsid w:val="00973745"/>
    <w:rsid w:val="009901F9"/>
    <w:rsid w:val="009912D6"/>
    <w:rsid w:val="0099351A"/>
    <w:rsid w:val="009A2692"/>
    <w:rsid w:val="009A4AB1"/>
    <w:rsid w:val="009B4310"/>
    <w:rsid w:val="009D2E1F"/>
    <w:rsid w:val="009D35CB"/>
    <w:rsid w:val="009D4B29"/>
    <w:rsid w:val="009D7BB5"/>
    <w:rsid w:val="009E237C"/>
    <w:rsid w:val="00A13E81"/>
    <w:rsid w:val="00A153B0"/>
    <w:rsid w:val="00A17B4D"/>
    <w:rsid w:val="00A31346"/>
    <w:rsid w:val="00A36A6D"/>
    <w:rsid w:val="00A41940"/>
    <w:rsid w:val="00A41B30"/>
    <w:rsid w:val="00A42AE8"/>
    <w:rsid w:val="00A6038E"/>
    <w:rsid w:val="00A7207B"/>
    <w:rsid w:val="00A73E14"/>
    <w:rsid w:val="00A84BD6"/>
    <w:rsid w:val="00A87A7A"/>
    <w:rsid w:val="00AA78C8"/>
    <w:rsid w:val="00AB14CC"/>
    <w:rsid w:val="00AB4A65"/>
    <w:rsid w:val="00AB5179"/>
    <w:rsid w:val="00AC0021"/>
    <w:rsid w:val="00AC03EC"/>
    <w:rsid w:val="00AC25C5"/>
    <w:rsid w:val="00AD6F7C"/>
    <w:rsid w:val="00AF0C1C"/>
    <w:rsid w:val="00B0249E"/>
    <w:rsid w:val="00B05A9F"/>
    <w:rsid w:val="00B10C03"/>
    <w:rsid w:val="00B24194"/>
    <w:rsid w:val="00B2549A"/>
    <w:rsid w:val="00B27537"/>
    <w:rsid w:val="00B27D8F"/>
    <w:rsid w:val="00B36FB6"/>
    <w:rsid w:val="00B37FFB"/>
    <w:rsid w:val="00B4570B"/>
    <w:rsid w:val="00B464DC"/>
    <w:rsid w:val="00B53E5B"/>
    <w:rsid w:val="00B837B0"/>
    <w:rsid w:val="00B8550C"/>
    <w:rsid w:val="00BA52A8"/>
    <w:rsid w:val="00BB3A75"/>
    <w:rsid w:val="00BC49EC"/>
    <w:rsid w:val="00BD2E04"/>
    <w:rsid w:val="00C00799"/>
    <w:rsid w:val="00C25F14"/>
    <w:rsid w:val="00C330DC"/>
    <w:rsid w:val="00C61A7D"/>
    <w:rsid w:val="00C62FE0"/>
    <w:rsid w:val="00C6648D"/>
    <w:rsid w:val="00C70472"/>
    <w:rsid w:val="00C75C7F"/>
    <w:rsid w:val="00C94971"/>
    <w:rsid w:val="00C97902"/>
    <w:rsid w:val="00CC149C"/>
    <w:rsid w:val="00CC32A2"/>
    <w:rsid w:val="00CC3AE9"/>
    <w:rsid w:val="00CD0194"/>
    <w:rsid w:val="00CD39BC"/>
    <w:rsid w:val="00CF1F1A"/>
    <w:rsid w:val="00D13624"/>
    <w:rsid w:val="00D214F1"/>
    <w:rsid w:val="00D4056F"/>
    <w:rsid w:val="00D52876"/>
    <w:rsid w:val="00D745F3"/>
    <w:rsid w:val="00D8432B"/>
    <w:rsid w:val="00DA2A71"/>
    <w:rsid w:val="00DA6610"/>
    <w:rsid w:val="00DA6BDC"/>
    <w:rsid w:val="00DB11D9"/>
    <w:rsid w:val="00DB4B0B"/>
    <w:rsid w:val="00DC0665"/>
    <w:rsid w:val="00DC5507"/>
    <w:rsid w:val="00DE2E0E"/>
    <w:rsid w:val="00DF6707"/>
    <w:rsid w:val="00E00F29"/>
    <w:rsid w:val="00E03ACC"/>
    <w:rsid w:val="00E03EAA"/>
    <w:rsid w:val="00E0489A"/>
    <w:rsid w:val="00E0595F"/>
    <w:rsid w:val="00E06215"/>
    <w:rsid w:val="00E4628C"/>
    <w:rsid w:val="00E735DC"/>
    <w:rsid w:val="00E76EBE"/>
    <w:rsid w:val="00E92C4B"/>
    <w:rsid w:val="00E97590"/>
    <w:rsid w:val="00EB0FE4"/>
    <w:rsid w:val="00ED2F3C"/>
    <w:rsid w:val="00ED33AA"/>
    <w:rsid w:val="00F260A0"/>
    <w:rsid w:val="00F266D1"/>
    <w:rsid w:val="00F44F91"/>
    <w:rsid w:val="00F5442B"/>
    <w:rsid w:val="00F5562D"/>
    <w:rsid w:val="00F74DB3"/>
    <w:rsid w:val="00F774D2"/>
    <w:rsid w:val="00F81842"/>
    <w:rsid w:val="00FC1137"/>
    <w:rsid w:val="00FC5F6A"/>
    <w:rsid w:val="00FD65B2"/>
    <w:rsid w:val="00FF5C93"/>
    <w:rsid w:val="00FF6D26"/>
    <w:rsid w:val="00FF6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6F9"/>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550C"/>
    <w:pPr>
      <w:tabs>
        <w:tab w:val="center" w:pos="4320"/>
        <w:tab w:val="right" w:pos="8640"/>
      </w:tabs>
    </w:pPr>
  </w:style>
  <w:style w:type="paragraph" w:styleId="Footer">
    <w:name w:val="footer"/>
    <w:basedOn w:val="Normal"/>
    <w:rsid w:val="00B8550C"/>
    <w:pPr>
      <w:tabs>
        <w:tab w:val="center" w:pos="4320"/>
        <w:tab w:val="right" w:pos="8640"/>
      </w:tabs>
    </w:pPr>
  </w:style>
  <w:style w:type="character" w:styleId="PageNumber">
    <w:name w:val="page number"/>
    <w:basedOn w:val="DefaultParagraphFont"/>
    <w:rsid w:val="00FF6DC2"/>
  </w:style>
  <w:style w:type="table" w:styleId="TableGrid">
    <w:name w:val="Table Grid"/>
    <w:basedOn w:val="TableNormal"/>
    <w:rsid w:val="009B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39BC"/>
    <w:rPr>
      <w:rFonts w:ascii="MS Shell Dlg" w:hAnsi="MS Shell Dlg" w:cs="MS Shell Dlg"/>
      <w:sz w:val="16"/>
      <w:szCs w:val="16"/>
    </w:rPr>
  </w:style>
  <w:style w:type="character" w:styleId="Hyperlink">
    <w:name w:val="Hyperlink"/>
    <w:basedOn w:val="DefaultParagraphFont"/>
    <w:rsid w:val="00365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5545">
      <w:bodyDiv w:val="1"/>
      <w:marLeft w:val="0"/>
      <w:marRight w:val="0"/>
      <w:marTop w:val="0"/>
      <w:marBottom w:val="0"/>
      <w:divBdr>
        <w:top w:val="none" w:sz="0" w:space="0" w:color="auto"/>
        <w:left w:val="none" w:sz="0" w:space="0" w:color="auto"/>
        <w:bottom w:val="none" w:sz="0" w:space="0" w:color="auto"/>
        <w:right w:val="none" w:sz="0" w:space="0" w:color="auto"/>
      </w:divBdr>
    </w:div>
    <w:div w:id="446512158">
      <w:bodyDiv w:val="1"/>
      <w:marLeft w:val="0"/>
      <w:marRight w:val="0"/>
      <w:marTop w:val="0"/>
      <w:marBottom w:val="0"/>
      <w:divBdr>
        <w:top w:val="none" w:sz="0" w:space="0" w:color="auto"/>
        <w:left w:val="none" w:sz="0" w:space="0" w:color="auto"/>
        <w:bottom w:val="none" w:sz="0" w:space="0" w:color="auto"/>
        <w:right w:val="none" w:sz="0" w:space="0" w:color="auto"/>
      </w:divBdr>
      <w:divsChild>
        <w:div w:id="430661743">
          <w:marLeft w:val="0"/>
          <w:marRight w:val="0"/>
          <w:marTop w:val="0"/>
          <w:marBottom w:val="0"/>
          <w:divBdr>
            <w:top w:val="none" w:sz="0" w:space="0" w:color="auto"/>
            <w:left w:val="none" w:sz="0" w:space="0" w:color="auto"/>
            <w:bottom w:val="none" w:sz="0" w:space="0" w:color="auto"/>
            <w:right w:val="none" w:sz="0" w:space="0" w:color="auto"/>
          </w:divBdr>
          <w:divsChild>
            <w:div w:id="1164393401">
              <w:marLeft w:val="0"/>
              <w:marRight w:val="0"/>
              <w:marTop w:val="0"/>
              <w:marBottom w:val="0"/>
              <w:divBdr>
                <w:top w:val="none" w:sz="0" w:space="0" w:color="auto"/>
                <w:left w:val="none" w:sz="0" w:space="0" w:color="auto"/>
                <w:bottom w:val="none" w:sz="0" w:space="0" w:color="auto"/>
                <w:right w:val="none" w:sz="0" w:space="0" w:color="auto"/>
              </w:divBdr>
            </w:div>
            <w:div w:id="1333412424">
              <w:marLeft w:val="0"/>
              <w:marRight w:val="0"/>
              <w:marTop w:val="0"/>
              <w:marBottom w:val="0"/>
              <w:divBdr>
                <w:top w:val="none" w:sz="0" w:space="0" w:color="auto"/>
                <w:left w:val="none" w:sz="0" w:space="0" w:color="auto"/>
                <w:bottom w:val="none" w:sz="0" w:space="0" w:color="auto"/>
                <w:right w:val="none" w:sz="0" w:space="0" w:color="auto"/>
              </w:divBdr>
            </w:div>
            <w:div w:id="1817381897">
              <w:marLeft w:val="0"/>
              <w:marRight w:val="0"/>
              <w:marTop w:val="0"/>
              <w:marBottom w:val="0"/>
              <w:divBdr>
                <w:top w:val="none" w:sz="0" w:space="0" w:color="auto"/>
                <w:left w:val="none" w:sz="0" w:space="0" w:color="auto"/>
                <w:bottom w:val="none" w:sz="0" w:space="0" w:color="auto"/>
                <w:right w:val="none" w:sz="0" w:space="0" w:color="auto"/>
              </w:divBdr>
            </w:div>
            <w:div w:id="19022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2611">
      <w:bodyDiv w:val="1"/>
      <w:marLeft w:val="0"/>
      <w:marRight w:val="0"/>
      <w:marTop w:val="0"/>
      <w:marBottom w:val="0"/>
      <w:divBdr>
        <w:top w:val="none" w:sz="0" w:space="0" w:color="auto"/>
        <w:left w:val="none" w:sz="0" w:space="0" w:color="auto"/>
        <w:bottom w:val="none" w:sz="0" w:space="0" w:color="auto"/>
        <w:right w:val="none" w:sz="0" w:space="0" w:color="auto"/>
      </w:divBdr>
      <w:divsChild>
        <w:div w:id="129636763">
          <w:marLeft w:val="0"/>
          <w:marRight w:val="0"/>
          <w:marTop w:val="0"/>
          <w:marBottom w:val="0"/>
          <w:divBdr>
            <w:top w:val="none" w:sz="0" w:space="0" w:color="auto"/>
            <w:left w:val="none" w:sz="0" w:space="0" w:color="auto"/>
            <w:bottom w:val="none" w:sz="0" w:space="0" w:color="auto"/>
            <w:right w:val="none" w:sz="0" w:space="0" w:color="auto"/>
          </w:divBdr>
        </w:div>
        <w:div w:id="655258720">
          <w:marLeft w:val="0"/>
          <w:marRight w:val="0"/>
          <w:marTop w:val="0"/>
          <w:marBottom w:val="0"/>
          <w:divBdr>
            <w:top w:val="none" w:sz="0" w:space="0" w:color="auto"/>
            <w:left w:val="none" w:sz="0" w:space="0" w:color="auto"/>
            <w:bottom w:val="none" w:sz="0" w:space="0" w:color="auto"/>
            <w:right w:val="none" w:sz="0" w:space="0" w:color="auto"/>
          </w:divBdr>
        </w:div>
        <w:div w:id="800000377">
          <w:marLeft w:val="0"/>
          <w:marRight w:val="0"/>
          <w:marTop w:val="0"/>
          <w:marBottom w:val="0"/>
          <w:divBdr>
            <w:top w:val="none" w:sz="0" w:space="0" w:color="auto"/>
            <w:left w:val="none" w:sz="0" w:space="0" w:color="auto"/>
            <w:bottom w:val="none" w:sz="0" w:space="0" w:color="auto"/>
            <w:right w:val="none" w:sz="0" w:space="0" w:color="auto"/>
          </w:divBdr>
        </w:div>
        <w:div w:id="988435717">
          <w:marLeft w:val="0"/>
          <w:marRight w:val="0"/>
          <w:marTop w:val="0"/>
          <w:marBottom w:val="0"/>
          <w:divBdr>
            <w:top w:val="none" w:sz="0" w:space="0" w:color="auto"/>
            <w:left w:val="none" w:sz="0" w:space="0" w:color="auto"/>
            <w:bottom w:val="none" w:sz="0" w:space="0" w:color="auto"/>
            <w:right w:val="none" w:sz="0" w:space="0" w:color="auto"/>
          </w:divBdr>
        </w:div>
        <w:div w:id="1235310411">
          <w:marLeft w:val="0"/>
          <w:marRight w:val="0"/>
          <w:marTop w:val="0"/>
          <w:marBottom w:val="0"/>
          <w:divBdr>
            <w:top w:val="none" w:sz="0" w:space="0" w:color="auto"/>
            <w:left w:val="none" w:sz="0" w:space="0" w:color="auto"/>
            <w:bottom w:val="none" w:sz="0" w:space="0" w:color="auto"/>
            <w:right w:val="none" w:sz="0" w:space="0" w:color="auto"/>
          </w:divBdr>
        </w:div>
        <w:div w:id="1521503904">
          <w:marLeft w:val="0"/>
          <w:marRight w:val="0"/>
          <w:marTop w:val="0"/>
          <w:marBottom w:val="0"/>
          <w:divBdr>
            <w:top w:val="none" w:sz="0" w:space="0" w:color="auto"/>
            <w:left w:val="none" w:sz="0" w:space="0" w:color="auto"/>
            <w:bottom w:val="none" w:sz="0" w:space="0" w:color="auto"/>
            <w:right w:val="none" w:sz="0" w:space="0" w:color="auto"/>
          </w:divBdr>
        </w:div>
        <w:div w:id="1776752737">
          <w:marLeft w:val="0"/>
          <w:marRight w:val="0"/>
          <w:marTop w:val="0"/>
          <w:marBottom w:val="0"/>
          <w:divBdr>
            <w:top w:val="none" w:sz="0" w:space="0" w:color="auto"/>
            <w:left w:val="none" w:sz="0" w:space="0" w:color="auto"/>
            <w:bottom w:val="none" w:sz="0" w:space="0" w:color="auto"/>
            <w:right w:val="none" w:sz="0" w:space="0" w:color="auto"/>
          </w:divBdr>
        </w:div>
        <w:div w:id="1785230103">
          <w:marLeft w:val="0"/>
          <w:marRight w:val="0"/>
          <w:marTop w:val="0"/>
          <w:marBottom w:val="0"/>
          <w:divBdr>
            <w:top w:val="none" w:sz="0" w:space="0" w:color="auto"/>
            <w:left w:val="none" w:sz="0" w:space="0" w:color="auto"/>
            <w:bottom w:val="none" w:sz="0" w:space="0" w:color="auto"/>
            <w:right w:val="none" w:sz="0" w:space="0" w:color="auto"/>
          </w:divBdr>
        </w:div>
        <w:div w:id="1855681846">
          <w:marLeft w:val="0"/>
          <w:marRight w:val="0"/>
          <w:marTop w:val="0"/>
          <w:marBottom w:val="0"/>
          <w:divBdr>
            <w:top w:val="none" w:sz="0" w:space="0" w:color="auto"/>
            <w:left w:val="none" w:sz="0" w:space="0" w:color="auto"/>
            <w:bottom w:val="none" w:sz="0" w:space="0" w:color="auto"/>
            <w:right w:val="none" w:sz="0" w:space="0" w:color="auto"/>
          </w:divBdr>
        </w:div>
        <w:div w:id="1870070822">
          <w:marLeft w:val="0"/>
          <w:marRight w:val="0"/>
          <w:marTop w:val="0"/>
          <w:marBottom w:val="0"/>
          <w:divBdr>
            <w:top w:val="none" w:sz="0" w:space="0" w:color="auto"/>
            <w:left w:val="none" w:sz="0" w:space="0" w:color="auto"/>
            <w:bottom w:val="none" w:sz="0" w:space="0" w:color="auto"/>
            <w:right w:val="none" w:sz="0" w:space="0" w:color="auto"/>
          </w:divBdr>
        </w:div>
        <w:div w:id="1919903182">
          <w:marLeft w:val="0"/>
          <w:marRight w:val="0"/>
          <w:marTop w:val="0"/>
          <w:marBottom w:val="0"/>
          <w:divBdr>
            <w:top w:val="none" w:sz="0" w:space="0" w:color="auto"/>
            <w:left w:val="none" w:sz="0" w:space="0" w:color="auto"/>
            <w:bottom w:val="none" w:sz="0" w:space="0" w:color="auto"/>
            <w:right w:val="none" w:sz="0" w:space="0" w:color="auto"/>
          </w:divBdr>
        </w:div>
        <w:div w:id="2023820111">
          <w:marLeft w:val="0"/>
          <w:marRight w:val="0"/>
          <w:marTop w:val="0"/>
          <w:marBottom w:val="0"/>
          <w:divBdr>
            <w:top w:val="none" w:sz="0" w:space="0" w:color="auto"/>
            <w:left w:val="none" w:sz="0" w:space="0" w:color="auto"/>
            <w:bottom w:val="none" w:sz="0" w:space="0" w:color="auto"/>
            <w:right w:val="none" w:sz="0" w:space="0" w:color="auto"/>
          </w:divBdr>
        </w:div>
        <w:div w:id="2044281156">
          <w:marLeft w:val="0"/>
          <w:marRight w:val="0"/>
          <w:marTop w:val="0"/>
          <w:marBottom w:val="0"/>
          <w:divBdr>
            <w:top w:val="none" w:sz="0" w:space="0" w:color="auto"/>
            <w:left w:val="none" w:sz="0" w:space="0" w:color="auto"/>
            <w:bottom w:val="none" w:sz="0" w:space="0" w:color="auto"/>
            <w:right w:val="none" w:sz="0" w:space="0" w:color="auto"/>
          </w:divBdr>
        </w:div>
      </w:divsChild>
    </w:div>
    <w:div w:id="2126002862">
      <w:bodyDiv w:val="1"/>
      <w:marLeft w:val="0"/>
      <w:marRight w:val="0"/>
      <w:marTop w:val="0"/>
      <w:marBottom w:val="0"/>
      <w:divBdr>
        <w:top w:val="none" w:sz="0" w:space="0" w:color="auto"/>
        <w:left w:val="none" w:sz="0" w:space="0" w:color="auto"/>
        <w:bottom w:val="none" w:sz="0" w:space="0" w:color="auto"/>
        <w:right w:val="none" w:sz="0" w:space="0" w:color="auto"/>
      </w:divBdr>
      <w:divsChild>
        <w:div w:id="168253168">
          <w:marLeft w:val="0"/>
          <w:marRight w:val="0"/>
          <w:marTop w:val="0"/>
          <w:marBottom w:val="0"/>
          <w:divBdr>
            <w:top w:val="none" w:sz="0" w:space="0" w:color="auto"/>
            <w:left w:val="none" w:sz="0" w:space="0" w:color="auto"/>
            <w:bottom w:val="none" w:sz="0" w:space="0" w:color="auto"/>
            <w:right w:val="none" w:sz="0" w:space="0" w:color="auto"/>
          </w:divBdr>
        </w:div>
        <w:div w:id="178930145">
          <w:marLeft w:val="0"/>
          <w:marRight w:val="0"/>
          <w:marTop w:val="0"/>
          <w:marBottom w:val="0"/>
          <w:divBdr>
            <w:top w:val="none" w:sz="0" w:space="0" w:color="auto"/>
            <w:left w:val="none" w:sz="0" w:space="0" w:color="auto"/>
            <w:bottom w:val="none" w:sz="0" w:space="0" w:color="auto"/>
            <w:right w:val="none" w:sz="0" w:space="0" w:color="auto"/>
          </w:divBdr>
        </w:div>
        <w:div w:id="439377893">
          <w:marLeft w:val="0"/>
          <w:marRight w:val="0"/>
          <w:marTop w:val="0"/>
          <w:marBottom w:val="0"/>
          <w:divBdr>
            <w:top w:val="none" w:sz="0" w:space="0" w:color="auto"/>
            <w:left w:val="none" w:sz="0" w:space="0" w:color="auto"/>
            <w:bottom w:val="none" w:sz="0" w:space="0" w:color="auto"/>
            <w:right w:val="none" w:sz="0" w:space="0" w:color="auto"/>
          </w:divBdr>
        </w:div>
        <w:div w:id="937366564">
          <w:marLeft w:val="0"/>
          <w:marRight w:val="0"/>
          <w:marTop w:val="0"/>
          <w:marBottom w:val="0"/>
          <w:divBdr>
            <w:top w:val="none" w:sz="0" w:space="0" w:color="auto"/>
            <w:left w:val="none" w:sz="0" w:space="0" w:color="auto"/>
            <w:bottom w:val="none" w:sz="0" w:space="0" w:color="auto"/>
            <w:right w:val="none" w:sz="0" w:space="0" w:color="auto"/>
          </w:divBdr>
        </w:div>
        <w:div w:id="999773715">
          <w:marLeft w:val="0"/>
          <w:marRight w:val="0"/>
          <w:marTop w:val="0"/>
          <w:marBottom w:val="0"/>
          <w:divBdr>
            <w:top w:val="none" w:sz="0" w:space="0" w:color="auto"/>
            <w:left w:val="none" w:sz="0" w:space="0" w:color="auto"/>
            <w:bottom w:val="none" w:sz="0" w:space="0" w:color="auto"/>
            <w:right w:val="none" w:sz="0" w:space="0" w:color="auto"/>
          </w:divBdr>
        </w:div>
        <w:div w:id="1221214880">
          <w:marLeft w:val="0"/>
          <w:marRight w:val="0"/>
          <w:marTop w:val="0"/>
          <w:marBottom w:val="0"/>
          <w:divBdr>
            <w:top w:val="none" w:sz="0" w:space="0" w:color="auto"/>
            <w:left w:val="none" w:sz="0" w:space="0" w:color="auto"/>
            <w:bottom w:val="none" w:sz="0" w:space="0" w:color="auto"/>
            <w:right w:val="none" w:sz="0" w:space="0" w:color="auto"/>
          </w:divBdr>
        </w:div>
        <w:div w:id="1228228348">
          <w:marLeft w:val="0"/>
          <w:marRight w:val="0"/>
          <w:marTop w:val="0"/>
          <w:marBottom w:val="0"/>
          <w:divBdr>
            <w:top w:val="none" w:sz="0" w:space="0" w:color="auto"/>
            <w:left w:val="none" w:sz="0" w:space="0" w:color="auto"/>
            <w:bottom w:val="none" w:sz="0" w:space="0" w:color="auto"/>
            <w:right w:val="none" w:sz="0" w:space="0" w:color="auto"/>
          </w:divBdr>
        </w:div>
        <w:div w:id="1295793388">
          <w:marLeft w:val="0"/>
          <w:marRight w:val="0"/>
          <w:marTop w:val="0"/>
          <w:marBottom w:val="0"/>
          <w:divBdr>
            <w:top w:val="none" w:sz="0" w:space="0" w:color="auto"/>
            <w:left w:val="none" w:sz="0" w:space="0" w:color="auto"/>
            <w:bottom w:val="none" w:sz="0" w:space="0" w:color="auto"/>
            <w:right w:val="none" w:sz="0" w:space="0" w:color="auto"/>
          </w:divBdr>
        </w:div>
        <w:div w:id="1453403815">
          <w:marLeft w:val="0"/>
          <w:marRight w:val="0"/>
          <w:marTop w:val="0"/>
          <w:marBottom w:val="0"/>
          <w:divBdr>
            <w:top w:val="none" w:sz="0" w:space="0" w:color="auto"/>
            <w:left w:val="none" w:sz="0" w:space="0" w:color="auto"/>
            <w:bottom w:val="none" w:sz="0" w:space="0" w:color="auto"/>
            <w:right w:val="none" w:sz="0" w:space="0" w:color="auto"/>
          </w:divBdr>
        </w:div>
        <w:div w:id="1553150311">
          <w:marLeft w:val="0"/>
          <w:marRight w:val="0"/>
          <w:marTop w:val="0"/>
          <w:marBottom w:val="0"/>
          <w:divBdr>
            <w:top w:val="none" w:sz="0" w:space="0" w:color="auto"/>
            <w:left w:val="none" w:sz="0" w:space="0" w:color="auto"/>
            <w:bottom w:val="none" w:sz="0" w:space="0" w:color="auto"/>
            <w:right w:val="none" w:sz="0" w:space="0" w:color="auto"/>
          </w:divBdr>
        </w:div>
        <w:div w:id="1577519291">
          <w:marLeft w:val="0"/>
          <w:marRight w:val="0"/>
          <w:marTop w:val="0"/>
          <w:marBottom w:val="0"/>
          <w:divBdr>
            <w:top w:val="none" w:sz="0" w:space="0" w:color="auto"/>
            <w:left w:val="none" w:sz="0" w:space="0" w:color="auto"/>
            <w:bottom w:val="none" w:sz="0" w:space="0" w:color="auto"/>
            <w:right w:val="none" w:sz="0" w:space="0" w:color="auto"/>
          </w:divBdr>
        </w:div>
        <w:div w:id="1790122740">
          <w:marLeft w:val="0"/>
          <w:marRight w:val="0"/>
          <w:marTop w:val="0"/>
          <w:marBottom w:val="0"/>
          <w:divBdr>
            <w:top w:val="none" w:sz="0" w:space="0" w:color="auto"/>
            <w:left w:val="none" w:sz="0" w:space="0" w:color="auto"/>
            <w:bottom w:val="none" w:sz="0" w:space="0" w:color="auto"/>
            <w:right w:val="none" w:sz="0" w:space="0" w:color="auto"/>
          </w:divBdr>
        </w:div>
        <w:div w:id="191627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2061</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2421</CharactersWithSpaces>
  <SharedDoc>false</SharedDoc>
  <HyperlinkBase>https://www.cabinet.qld.gov.au/documents/2010/Aug/Fair Trading Bill 10/</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Consumer_affairs</cp:keywords>
  <cp:lastModifiedBy/>
  <cp:revision>2</cp:revision>
  <cp:lastPrinted>2010-10-08T11:06:00Z</cp:lastPrinted>
  <dcterms:created xsi:type="dcterms:W3CDTF">2017-10-24T22:18:00Z</dcterms:created>
  <dcterms:modified xsi:type="dcterms:W3CDTF">2018-03-06T01:01:00Z</dcterms:modified>
  <cp:category>Fair_Trading,Legislation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158514601</vt:i4>
  </property>
  <property fmtid="{D5CDD505-2E9C-101B-9397-08002B2CF9AE}" pid="4" name="_ReviewingToolsShownOnce">
    <vt:lpwstr/>
  </property>
</Properties>
</file>